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F6CB466"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r w:rsidR="000F6082" w:rsidRPr="00987B5B">
        <w:rPr>
          <w:rFonts w:ascii="Arial" w:hAnsi="Arial" w:cs="Arial"/>
          <w:b/>
          <w:bCs/>
          <w:caps/>
          <w:color w:val="214F87"/>
          <w:sz w:val="44"/>
          <w:szCs w:val="44"/>
        </w:rPr>
        <w:t>3</w:t>
      </w:r>
      <w:r w:rsidR="00987B5B" w:rsidRPr="00987B5B">
        <w:rPr>
          <w:rFonts w:ascii="Arial" w:hAnsi="Arial" w:cs="Arial"/>
          <w:b/>
          <w:bCs/>
          <w:caps/>
          <w:color w:val="214F87"/>
          <w:sz w:val="44"/>
          <w:szCs w:val="44"/>
        </w:rPr>
        <w:t>a</w:t>
      </w:r>
    </w:p>
    <w:p w14:paraId="35AE0746" w14:textId="3C3E0F15" w:rsidR="006F7549" w:rsidRPr="00987B5B"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987B5B">
        <w:rPr>
          <w:rFonts w:ascii="Arial" w:hAnsi="Arial" w:cs="Arial"/>
          <w:b/>
          <w:bCs/>
          <w:color w:val="214F87"/>
          <w:sz w:val="44"/>
          <w:szCs w:val="44"/>
        </w:rPr>
        <w:t xml:space="preserve">de </w:t>
      </w:r>
      <w:proofErr w:type="spellStart"/>
      <w:r w:rsidR="00987B5B">
        <w:rPr>
          <w:rFonts w:ascii="Arial" w:hAnsi="Arial" w:cs="Arial"/>
          <w:b/>
          <w:bCs/>
          <w:color w:val="214F87"/>
          <w:sz w:val="44"/>
          <w:szCs w:val="44"/>
        </w:rPr>
        <w:t>minimis</w:t>
      </w:r>
      <w:proofErr w:type="spellEnd"/>
      <w:r w:rsidR="00987B5B">
        <w:rPr>
          <w:rFonts w:ascii="Arial" w:hAnsi="Arial" w:cs="Arial"/>
          <w:b/>
          <w:bCs/>
          <w:color w:val="214F87"/>
          <w:sz w:val="44"/>
          <w:szCs w:val="44"/>
        </w:rPr>
        <w:t xml:space="preserve"> SOHZ</w:t>
      </w:r>
    </w:p>
    <w:p w14:paraId="65ACB4EC" w14:textId="2A9D3374" w:rsidR="00987B5B" w:rsidRPr="00AB433E" w:rsidRDefault="00E970C1" w:rsidP="00987B5B">
      <w:pPr>
        <w:pStyle w:val="Zkladnodstavec"/>
        <w:spacing w:before="360"/>
        <w:jc w:val="center"/>
        <w:rPr>
          <w:rFonts w:ascii="Arial" w:hAnsi="Arial" w:cs="Arial"/>
          <w:caps/>
          <w:color w:val="auto"/>
          <w:sz w:val="36"/>
          <w:szCs w:val="36"/>
        </w:rPr>
      </w:pPr>
      <w:r>
        <w:rPr>
          <w:rFonts w:ascii="Arial" w:hAnsi="Arial" w:cs="Arial"/>
          <w:caps/>
          <w:color w:val="auto"/>
          <w:sz w:val="36"/>
          <w:szCs w:val="36"/>
        </w:rPr>
        <w:t>38</w:t>
      </w:r>
      <w:r w:rsidR="00987B5B" w:rsidRPr="00AB433E">
        <w:rPr>
          <w:rFonts w:ascii="Arial" w:hAnsi="Arial" w:cs="Arial"/>
          <w:caps/>
          <w:color w:val="auto"/>
          <w:sz w:val="36"/>
          <w:szCs w:val="36"/>
        </w:rPr>
        <w:t xml:space="preserve">. výzva IROP </w:t>
      </w:r>
      <w:r w:rsidR="00987B5B" w:rsidRPr="00AB433E">
        <w:rPr>
          <w:rFonts w:ascii="Arial" w:hAnsi="Arial" w:cs="Arial"/>
          <w:sz w:val="36"/>
          <w:szCs w:val="36"/>
        </w:rPr>
        <w:t xml:space="preserve">– SOCIÁLNÍ BYDLENÍ </w:t>
      </w:r>
      <w:r>
        <w:rPr>
          <w:rFonts w:ascii="Arial" w:hAnsi="Arial" w:cs="Arial"/>
          <w:sz w:val="36"/>
          <w:szCs w:val="36"/>
        </w:rPr>
        <w:t xml:space="preserve">(ITI) </w:t>
      </w:r>
      <w:r w:rsidR="00987B5B" w:rsidRPr="00AB433E">
        <w:rPr>
          <w:rFonts w:ascii="Arial" w:hAnsi="Arial" w:cs="Arial"/>
          <w:sz w:val="36"/>
          <w:szCs w:val="36"/>
        </w:rPr>
        <w:t>– SC 4.2 (MRR</w:t>
      </w:r>
      <w:r>
        <w:rPr>
          <w:rFonts w:ascii="Arial" w:hAnsi="Arial" w:cs="Arial"/>
          <w:sz w:val="36"/>
          <w:szCs w:val="36"/>
        </w:rPr>
        <w:t>, PR</w:t>
      </w:r>
      <w:r w:rsidR="00987B5B" w:rsidRPr="00AB433E">
        <w:rPr>
          <w:rFonts w:ascii="Arial" w:hAnsi="Arial" w:cs="Arial"/>
          <w:sz w:val="36"/>
          <w:szCs w:val="36"/>
        </w:rPr>
        <w:t>)</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5CDF0F01"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44F8F99"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B44D28D"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0A4E2958"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 xml:space="preserve">Lhůta pro dosažení účelu </w:t>
            </w:r>
            <w:proofErr w:type="gramStart"/>
            <w:r w:rsidRPr="00EE7B0F">
              <w:rPr>
                <w:rFonts w:ascii="Arial" w:hAnsi="Arial" w:cs="Arial"/>
                <w:b/>
                <w:sz w:val="22"/>
                <w:szCs w:val="22"/>
              </w:rPr>
              <w:t>projektu</w:t>
            </w:r>
            <w:proofErr w:type="gramEnd"/>
            <w:r w:rsidRPr="00EE7B0F">
              <w:rPr>
                <w:rFonts w:ascii="Arial" w:hAnsi="Arial" w:cs="Arial"/>
                <w:b/>
                <w:sz w:val="22"/>
                <w:szCs w:val="22"/>
              </w:rPr>
              <w:t xml:space="preserve"> –</w:t>
            </w:r>
            <w:proofErr w:type="gramStart"/>
            <w:r w:rsidRPr="00EE7B0F">
              <w:rPr>
                <w:rFonts w:ascii="Arial" w:hAnsi="Arial" w:cs="Arial"/>
                <w:b/>
                <w:sz w:val="22"/>
                <w:szCs w:val="22"/>
              </w:rPr>
              <w:t>datum</w:t>
            </w:r>
            <w:proofErr w:type="gramEnd"/>
            <w:r w:rsidRPr="00EE7B0F">
              <w:rPr>
                <w:rFonts w:ascii="Arial" w:hAnsi="Arial" w:cs="Arial"/>
                <w:b/>
                <w:sz w:val="22"/>
                <w:szCs w:val="22"/>
              </w:rPr>
              <w:t xml:space="preserve">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 xml:space="preserve">Lhůta pro dosažení účelu </w:t>
            </w:r>
            <w:proofErr w:type="gramStart"/>
            <w:r w:rsidRPr="00EE7B0F">
              <w:rPr>
                <w:rFonts w:ascii="Arial" w:hAnsi="Arial" w:cs="Arial"/>
                <w:b/>
                <w:sz w:val="22"/>
                <w:szCs w:val="22"/>
              </w:rPr>
              <w:t>projektu</w:t>
            </w:r>
            <w:proofErr w:type="gramEnd"/>
            <w:r w:rsidRPr="00EE7B0F">
              <w:rPr>
                <w:rFonts w:ascii="Arial" w:hAnsi="Arial" w:cs="Arial"/>
                <w:b/>
                <w:sz w:val="22"/>
                <w:szCs w:val="22"/>
              </w:rPr>
              <w:t xml:space="preserve"> –</w:t>
            </w:r>
            <w:proofErr w:type="gramStart"/>
            <w:r w:rsidRPr="00EE7B0F">
              <w:rPr>
                <w:rFonts w:ascii="Arial" w:hAnsi="Arial" w:cs="Arial"/>
                <w:b/>
                <w:sz w:val="22"/>
                <w:szCs w:val="22"/>
              </w:rPr>
              <w:t>datum</w:t>
            </w:r>
            <w:proofErr w:type="gramEnd"/>
            <w:r w:rsidRPr="00EE7B0F">
              <w:rPr>
                <w:rFonts w:ascii="Arial" w:hAnsi="Arial" w:cs="Arial"/>
                <w:b/>
                <w:sz w:val="22"/>
                <w:szCs w:val="22"/>
              </w:rPr>
              <w:t xml:space="preserve">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56AA5638"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6E5A9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proofErr w:type="spellStart"/>
            <w:r w:rsidRPr="00EE7B0F">
              <w:rPr>
                <w:rFonts w:ascii="Arial" w:hAnsi="Arial" w:cs="Arial"/>
                <w:bCs/>
                <w:color w:val="000000"/>
                <w:sz w:val="22"/>
                <w:szCs w:val="22"/>
              </w:rPr>
              <w:t>max</w:t>
            </w:r>
            <w:proofErr w:type="spellEnd"/>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FBA8A58"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proofErr w:type="spellStart"/>
            <w:r w:rsidRPr="00EE7B0F">
              <w:rPr>
                <w:rFonts w:ascii="Arial" w:hAnsi="Arial" w:cs="Arial"/>
                <w:bCs/>
                <w:color w:val="000000"/>
                <w:sz w:val="22"/>
                <w:szCs w:val="22"/>
              </w:rPr>
              <w:t>max</w:t>
            </w:r>
            <w:proofErr w:type="spellEnd"/>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125A304E"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28FBEE1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63EA96D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39A99ACF"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3AA4D5D6"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7981AB15" w:rsidR="009132E6" w:rsidRPr="00BF657C" w:rsidRDefault="009132E6" w:rsidP="00E92F67">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7E8D2AFA"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5CBFEE5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353873">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4A2713E9"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59783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5C7AE5" w:rsidRDefault="009132E6" w:rsidP="0042247B">
            <w:pPr>
              <w:spacing w:before="120" w:after="120" w:line="271" w:lineRule="auto"/>
              <w:ind w:right="-2"/>
              <w:jc w:val="both"/>
              <w:rPr>
                <w:rFonts w:ascii="Arial" w:hAnsi="Arial" w:cs="Arial"/>
                <w:snapToGrid w:val="0"/>
                <w:sz w:val="22"/>
                <w:szCs w:val="22"/>
              </w:rPr>
            </w:pPr>
            <w:r w:rsidRPr="005C7AE5">
              <w:rPr>
                <w:rFonts w:ascii="Arial" w:hAnsi="Arial" w:cs="Arial"/>
                <w:snapToGrid w:val="0"/>
                <w:sz w:val="22"/>
                <w:szCs w:val="22"/>
              </w:rPr>
              <w:t>Indikátory:</w:t>
            </w:r>
          </w:p>
          <w:p w14:paraId="425EA4CC" w14:textId="77777777" w:rsidR="00D37C31" w:rsidRPr="00353873" w:rsidRDefault="00D37C31" w:rsidP="00E175D1">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5C7AE5">
              <w:rPr>
                <w:rFonts w:ascii="Arial" w:hAnsi="Arial" w:cs="Arial"/>
                <w:i/>
                <w:iCs/>
                <w:snapToGrid w:val="0"/>
                <w:sz w:val="22"/>
                <w:szCs w:val="22"/>
              </w:rPr>
              <w:t>553 021 - Kapacita nového sociálního bydlení</w:t>
            </w:r>
            <w:r w:rsidRPr="005C7AE5" w:rsidDel="009D2060">
              <w:rPr>
                <w:rFonts w:ascii="Arial" w:hAnsi="Arial" w:cs="Arial"/>
                <w:i/>
                <w:iCs/>
                <w:snapToGrid w:val="0"/>
                <w:sz w:val="22"/>
                <w:szCs w:val="22"/>
              </w:rPr>
              <w:t xml:space="preserve"> </w:t>
            </w:r>
          </w:p>
          <w:p w14:paraId="43E502DF" w14:textId="77777777" w:rsidR="00D37C31" w:rsidRPr="005C7AE5"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553 031 - Kapacita modernizovaného sociálního bydlení</w:t>
            </w:r>
            <w:r w:rsidRPr="005C7AE5" w:rsidDel="009D2060">
              <w:rPr>
                <w:rFonts w:ascii="Arial" w:hAnsi="Arial" w:cs="Arial"/>
                <w:i/>
                <w:iCs/>
                <w:snapToGrid w:val="0"/>
                <w:sz w:val="22"/>
                <w:szCs w:val="22"/>
              </w:rPr>
              <w:t xml:space="preserve"> </w:t>
            </w:r>
          </w:p>
          <w:p w14:paraId="43ABF9E8"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553 052 - Počet nových bytů pro sociální bydlení</w:t>
            </w:r>
          </w:p>
          <w:p w14:paraId="379F0B67"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w:t>
            </w:r>
            <w:r w:rsidRPr="006E5A91">
              <w:rPr>
                <w:rFonts w:ascii="Arial" w:hAnsi="Arial" w:cs="Arial"/>
                <w:i/>
                <w:iCs/>
                <w:snapToGrid w:val="0"/>
                <w:sz w:val="22"/>
                <w:szCs w:val="22"/>
              </w:rPr>
              <w:t xml:space="preserve"> 061 - </w:t>
            </w:r>
            <w:r w:rsidRPr="005C7AE5">
              <w:rPr>
                <w:rFonts w:ascii="Arial" w:hAnsi="Arial" w:cs="Arial"/>
                <w:i/>
                <w:iCs/>
                <w:snapToGrid w:val="0"/>
                <w:sz w:val="22"/>
                <w:szCs w:val="22"/>
              </w:rPr>
              <w:t>Počet rekonstruovaných bytů pro sociální bydlení</w:t>
            </w:r>
          </w:p>
          <w:p w14:paraId="6B854B40" w14:textId="68031B30" w:rsidR="00D37C31"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323 000 - Snížení konečné spotřeby energie u podpořených subjektů</w:t>
            </w:r>
          </w:p>
          <w:p w14:paraId="5A36FBD8" w14:textId="590CB995" w:rsidR="002D1A19" w:rsidRPr="005C7AE5" w:rsidRDefault="006A789A"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746ABC43" w14:textId="08B6BDD2" w:rsidR="009132E6" w:rsidRPr="00BF657C" w:rsidRDefault="009132E6" w:rsidP="00E92F67">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0758D50C"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A2330BC" w:rsidR="00477071" w:rsidRPr="000C678D" w:rsidRDefault="009207E0"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0906C1">
              <w:rPr>
                <w:rFonts w:ascii="Arial" w:hAnsi="Arial" w:cs="Arial"/>
                <w:snapToGrid w:val="0"/>
                <w:sz w:val="22"/>
                <w:szCs w:val="22"/>
                <w:lang w:eastAsia="zh-CN" w:bidi="ar"/>
              </w:rPr>
              <w:t>,</w:t>
            </w:r>
          </w:p>
          <w:p w14:paraId="42565DE8" w14:textId="04EBEF30"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59783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2D1A19">
              <w:rPr>
                <w:rFonts w:ascii="Arial" w:eastAsiaTheme="minorEastAsia" w:hAnsi="Arial" w:cs="Arial"/>
                <w:snapToGrid w:val="0"/>
                <w:sz w:val="22"/>
                <w:szCs w:val="22"/>
                <w:lang w:eastAsia="zh-CN" w:bidi="ar"/>
              </w:rPr>
              <w:t>60</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00256969">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53873" w:rsidRDefault="00277403" w:rsidP="00277403">
            <w:pPr>
              <w:spacing w:before="120" w:after="120" w:line="271" w:lineRule="auto"/>
              <w:ind w:right="-2"/>
              <w:jc w:val="both"/>
              <w:rPr>
                <w:rFonts w:ascii="Arial" w:hAnsi="Arial" w:cs="Arial"/>
                <w:snapToGrid w:val="0"/>
                <w:sz w:val="22"/>
                <w:szCs w:val="22"/>
              </w:rPr>
            </w:pPr>
            <w:r w:rsidRPr="00353873">
              <w:rPr>
                <w:rFonts w:ascii="Arial" w:hAnsi="Arial" w:cs="Arial"/>
                <w:snapToGrid w:val="0"/>
                <w:sz w:val="22"/>
                <w:szCs w:val="22"/>
              </w:rPr>
              <w:t>Indikátory:</w:t>
            </w:r>
          </w:p>
          <w:p w14:paraId="371A002C" w14:textId="77777777" w:rsidR="00D37C31" w:rsidRPr="00353873" w:rsidRDefault="00D37C31" w:rsidP="00E175D1">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353873">
              <w:rPr>
                <w:rFonts w:ascii="Arial" w:hAnsi="Arial" w:cs="Arial"/>
                <w:i/>
                <w:iCs/>
                <w:snapToGrid w:val="0"/>
                <w:sz w:val="22"/>
                <w:szCs w:val="22"/>
              </w:rPr>
              <w:t>553 021 - Kapacita nového sociálního bydlení</w:t>
            </w:r>
            <w:r w:rsidRPr="00353873" w:rsidDel="009D2060">
              <w:rPr>
                <w:rFonts w:ascii="Arial" w:hAnsi="Arial" w:cs="Arial"/>
                <w:i/>
                <w:iCs/>
                <w:snapToGrid w:val="0"/>
                <w:sz w:val="22"/>
                <w:szCs w:val="22"/>
              </w:rPr>
              <w:t xml:space="preserve"> </w:t>
            </w:r>
          </w:p>
          <w:p w14:paraId="7B8561C9" w14:textId="77777777" w:rsidR="00D37C31" w:rsidRPr="00353873"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53873">
              <w:rPr>
                <w:rFonts w:ascii="Arial" w:hAnsi="Arial" w:cs="Arial"/>
                <w:i/>
                <w:iCs/>
                <w:snapToGrid w:val="0"/>
                <w:sz w:val="22"/>
                <w:szCs w:val="22"/>
              </w:rPr>
              <w:t>553 031 - Kapacita modernizovaného sociálního bydlení</w:t>
            </w:r>
            <w:r w:rsidRPr="00353873" w:rsidDel="009D2060">
              <w:rPr>
                <w:rFonts w:ascii="Arial" w:hAnsi="Arial" w:cs="Arial"/>
                <w:i/>
                <w:iCs/>
                <w:snapToGrid w:val="0"/>
                <w:sz w:val="22"/>
                <w:szCs w:val="22"/>
              </w:rPr>
              <w:t xml:space="preserve"> </w:t>
            </w:r>
          </w:p>
          <w:p w14:paraId="47055900"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lastRenderedPageBreak/>
              <w:t>553 052 - Počet nových bytů pro sociální bydlení</w:t>
            </w:r>
          </w:p>
          <w:p w14:paraId="33342DF1"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w:t>
            </w:r>
            <w:r w:rsidRPr="006E5A91">
              <w:rPr>
                <w:rFonts w:ascii="Arial" w:hAnsi="Arial" w:cs="Arial"/>
                <w:i/>
                <w:iCs/>
                <w:snapToGrid w:val="0"/>
                <w:sz w:val="22"/>
                <w:szCs w:val="22"/>
              </w:rPr>
              <w:t xml:space="preserve"> 061 -</w:t>
            </w:r>
            <w:r w:rsidRPr="008D2867">
              <w:rPr>
                <w:rFonts w:ascii="Arial" w:hAnsi="Arial" w:cs="Arial"/>
                <w:i/>
                <w:iCs/>
                <w:snapToGrid w:val="0"/>
              </w:rPr>
              <w:t xml:space="preserve"> </w:t>
            </w:r>
            <w:r w:rsidRPr="00353873">
              <w:rPr>
                <w:rFonts w:ascii="Arial" w:hAnsi="Arial" w:cs="Arial"/>
                <w:i/>
                <w:iCs/>
                <w:snapToGrid w:val="0"/>
                <w:sz w:val="22"/>
                <w:szCs w:val="22"/>
              </w:rPr>
              <w:t>Počet rekonstruovaných bytů pro sociální bydlení</w:t>
            </w:r>
          </w:p>
          <w:p w14:paraId="73D34154" w14:textId="583866B7" w:rsidR="00D37C31"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37C31">
              <w:rPr>
                <w:rFonts w:ascii="Arial" w:hAnsi="Arial" w:cs="Arial"/>
                <w:i/>
                <w:iCs/>
                <w:snapToGrid w:val="0"/>
                <w:sz w:val="22"/>
                <w:szCs w:val="22"/>
              </w:rPr>
              <w:t>323 000 - Snížení konečné spotřeby energie u podpořených subjektů</w:t>
            </w:r>
          </w:p>
          <w:p w14:paraId="06C94F4E" w14:textId="427A7AFC" w:rsidR="006A789A" w:rsidRPr="008D2867" w:rsidRDefault="006A789A"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3901A7F6"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652F84">
              <w:rPr>
                <w:rFonts w:ascii="Arial" w:hAnsi="Arial" w:cs="Arial"/>
                <w:snapToGrid w:val="0"/>
                <w:sz w:val="22"/>
                <w:szCs w:val="22"/>
                <w:lang w:eastAsia="zh-CN" w:bidi="ar"/>
              </w:rPr>
              <w:t xml:space="preserve"> </w:t>
            </w:r>
            <w:r w:rsidR="00652F84" w:rsidRPr="00652F84">
              <w:rPr>
                <w:rFonts w:ascii="Arial" w:hAnsi="Arial" w:cs="Arial"/>
                <w:snapToGrid w:val="0"/>
                <w:sz w:val="22"/>
                <w:szCs w:val="22"/>
                <w:lang w:eastAsia="zh-CN" w:bidi="ar"/>
              </w:rPr>
              <w:t xml:space="preserve">(vyjma indikátoru </w:t>
            </w:r>
            <w:r w:rsidR="00652F84" w:rsidRPr="008D2867">
              <w:rPr>
                <w:rFonts w:ascii="Arial" w:hAnsi="Arial" w:cs="Arial"/>
                <w:i/>
                <w:iCs/>
                <w:snapToGrid w:val="0"/>
                <w:sz w:val="22"/>
                <w:szCs w:val="22"/>
                <w:lang w:eastAsia="zh-CN" w:bidi="ar"/>
              </w:rPr>
              <w:t>VI.</w:t>
            </w:r>
            <w:r w:rsidR="00652F84" w:rsidRPr="00652F8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51B23006" w14:textId="300A9533" w:rsidR="006A789A" w:rsidRPr="008D2867" w:rsidRDefault="009207E0" w:rsidP="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207E0">
              <w:rPr>
                <w:rFonts w:ascii="Arial" w:hAnsi="Arial" w:cs="Arial"/>
                <w:i/>
                <w:iCs/>
                <w:snapToGrid w:val="0"/>
                <w:sz w:val="22"/>
                <w:szCs w:val="22"/>
                <w:lang w:eastAsia="zh-CN" w:bidi="ar"/>
              </w:rPr>
              <w:t>V</w:t>
            </w:r>
            <w:r w:rsidR="00FB1195" w:rsidRPr="009207E0">
              <w:rPr>
                <w:rFonts w:ascii="Arial" w:hAnsi="Arial" w:cs="Arial"/>
                <w:i/>
                <w:iCs/>
                <w:snapToGrid w:val="0"/>
                <w:sz w:val="22"/>
                <w:szCs w:val="22"/>
                <w:lang w:eastAsia="zh-CN" w:bidi="ar"/>
              </w:rPr>
              <w:t>.</w:t>
            </w:r>
            <w:r w:rsidR="00FB1195" w:rsidRPr="009207E0">
              <w:rPr>
                <w:rFonts w:ascii="Arial" w:hAnsi="Arial" w:cs="Arial"/>
                <w:snapToGrid w:val="0"/>
                <w:sz w:val="22"/>
                <w:szCs w:val="22"/>
                <w:lang w:eastAsia="zh-CN" w:bidi="ar"/>
              </w:rPr>
              <w:t xml:space="preserve"> na 95 % a více z rozdílu mezi výchozí a cílovou hodnotou</w:t>
            </w:r>
            <w:r w:rsidR="000906C1">
              <w:rPr>
                <w:rFonts w:ascii="Arial" w:hAnsi="Arial" w:cs="Arial"/>
                <w:snapToGrid w:val="0"/>
                <w:sz w:val="22"/>
                <w:szCs w:val="22"/>
                <w:lang w:eastAsia="zh-CN" w:bidi="ar"/>
              </w:rPr>
              <w:t>,</w:t>
            </w:r>
          </w:p>
          <w:p w14:paraId="2FFC73FF" w14:textId="3DE25BDD" w:rsidR="00FB1195" w:rsidRPr="008D2867" w:rsidRDefault="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D2867">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na 60 %</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63160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V</w:t>
            </w:r>
            <w:r w:rsidR="006A789A">
              <w:rPr>
                <w:rFonts w:ascii="Arial" w:hAnsi="Arial" w:cs="Arial"/>
                <w:i/>
                <w:iCs/>
                <w:snapToGrid w:val="0"/>
                <w:sz w:val="22"/>
                <w:szCs w:val="22"/>
              </w:rPr>
              <w:t>I</w:t>
            </w:r>
            <w:r w:rsidR="00277403" w:rsidRPr="00351B32">
              <w:rPr>
                <w:rFonts w:ascii="Arial" w:hAnsi="Arial" w:cs="Arial"/>
                <w:i/>
                <w:iCs/>
                <w:snapToGrid w:val="0"/>
                <w:sz w:val="22"/>
                <w:szCs w:val="22"/>
              </w:rPr>
              <w:t>.</w:t>
            </w:r>
            <w:r w:rsidRPr="00BF657C">
              <w:rPr>
                <w:rFonts w:ascii="Arial" w:hAnsi="Arial" w:cs="Arial"/>
                <w:snapToGrid w:val="0"/>
                <w:sz w:val="22"/>
                <w:szCs w:val="22"/>
              </w:rPr>
              <w:t>) naplňovaných za 1.</w:t>
            </w:r>
            <w:r w:rsidR="00803BAC">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6A789A">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2C4108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91468BC"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6E5A91">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659CE4A6"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neoprávněným použitím ve smyslu § 3 písm. e) rozpočtových pravidel) nebo </w:t>
      </w:r>
      <w:proofErr w:type="gramStart"/>
      <w:r w:rsidRPr="00BF657C">
        <w:rPr>
          <w:rFonts w:ascii="Arial" w:hAnsi="Arial" w:cs="Arial"/>
          <w:snapToGrid w:val="0"/>
          <w:sz w:val="22"/>
          <w:szCs w:val="22"/>
        </w:rPr>
        <w:t>porušil  nebo</w:t>
      </w:r>
      <w:proofErr w:type="gramEnd"/>
      <w:r w:rsidRPr="00BF657C">
        <w:rPr>
          <w:rFonts w:ascii="Arial" w:hAnsi="Arial" w:cs="Arial"/>
          <w:snapToGrid w:val="0"/>
          <w:sz w:val="22"/>
          <w:szCs w:val="22"/>
        </w:rPr>
        <w:t xml:space="preserve">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CA5784">
        <w:rPr>
          <w:rFonts w:ascii="Arial" w:hAnsi="Arial" w:cs="Arial"/>
          <w:b/>
          <w:i/>
          <w:snapToGrid w:val="0"/>
          <w:sz w:val="22"/>
          <w:szCs w:val="22"/>
        </w:rPr>
        <w:t>Veřejná podpora</w:t>
      </w:r>
    </w:p>
    <w:p w14:paraId="6F148A60" w14:textId="77777777" w:rsidR="00D37C31" w:rsidRPr="00123D4A" w:rsidRDefault="00D37C31" w:rsidP="00D37C31">
      <w:pPr>
        <w:numPr>
          <w:ilvl w:val="0"/>
          <w:numId w:val="37"/>
        </w:numPr>
        <w:spacing w:before="120" w:after="120" w:line="271" w:lineRule="auto"/>
        <w:ind w:left="357" w:hanging="357"/>
        <w:jc w:val="both"/>
        <w:rPr>
          <w:rFonts w:ascii="Arial" w:hAnsi="Arial" w:cs="Arial"/>
          <w:snapToGrid w:val="0"/>
          <w:sz w:val="22"/>
          <w:szCs w:val="22"/>
        </w:rPr>
      </w:pPr>
      <w:r w:rsidRPr="00123D4A">
        <w:rPr>
          <w:rFonts w:ascii="Arial" w:hAnsi="Arial" w:cs="Arial"/>
          <w:snapToGrid w:val="0"/>
          <w:sz w:val="22"/>
          <w:szCs w:val="22"/>
        </w:rPr>
        <w:t>Dotace je udělena v souladu s nařízením Komise (EU) č. 360/2012</w:t>
      </w:r>
      <w:r w:rsidRPr="00123D4A">
        <w:rPr>
          <w:rFonts w:ascii="Arial" w:hAnsi="Arial" w:cs="Arial"/>
          <w:snapToGrid w:val="0"/>
          <w:sz w:val="22"/>
          <w:szCs w:val="22"/>
          <w:vertAlign w:val="superscript"/>
        </w:rPr>
        <w:footnoteReference w:id="22"/>
      </w:r>
      <w:r w:rsidRPr="00123D4A">
        <w:rPr>
          <w:rFonts w:ascii="Arial" w:hAnsi="Arial" w:cs="Arial"/>
          <w:snapToGrid w:val="0"/>
          <w:sz w:val="22"/>
          <w:szCs w:val="22"/>
        </w:rPr>
        <w:t xml:space="preserve"> ze dne 25. dubna 2012 o použití článků 107 a 108 SFEU na podporu de </w:t>
      </w:r>
      <w:proofErr w:type="spellStart"/>
      <w:r w:rsidRPr="00123D4A">
        <w:rPr>
          <w:rFonts w:ascii="Arial" w:hAnsi="Arial" w:cs="Arial"/>
          <w:snapToGrid w:val="0"/>
          <w:sz w:val="22"/>
          <w:szCs w:val="22"/>
        </w:rPr>
        <w:t>minimis</w:t>
      </w:r>
      <w:proofErr w:type="spellEnd"/>
      <w:r w:rsidRPr="00123D4A">
        <w:rPr>
          <w:rFonts w:ascii="Arial" w:hAnsi="Arial" w:cs="Arial"/>
          <w:snapToGrid w:val="0"/>
          <w:sz w:val="22"/>
          <w:szCs w:val="22"/>
        </w:rPr>
        <w:t xml:space="preserve"> udílenou podnikům poskytujícím služby obecného hospodářského zájmu. </w:t>
      </w:r>
    </w:p>
    <w:p w14:paraId="020D6F6D" w14:textId="77777777" w:rsidR="00D37C31" w:rsidRPr="00123D4A" w:rsidRDefault="00D37C31" w:rsidP="00D37C31">
      <w:pPr>
        <w:pStyle w:val="Odstavecseseznamem"/>
        <w:numPr>
          <w:ilvl w:val="0"/>
          <w:numId w:val="37"/>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lastRenderedPageBreak/>
        <w:t xml:space="preserve">Poskytovatel podpory, který je pověřovatel pověřuje příjemce dotace k poskytování služby obecného hospodářského zájmu sociální bydlení po dobu 20 let. Službou obecného hospodářského zájmu je v tomto případě poskytování bydlení pro vymezenou cílovou skupinu a za podmínek stanovených ve Specifických pravidlech pro žadatele a příjemce, které tvoří nedílnou součást. Příjemce dotace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w:t>
      </w:r>
    </w:p>
    <w:p w14:paraId="58786776" w14:textId="77777777" w:rsidR="00D37C31" w:rsidRPr="00123D4A" w:rsidRDefault="00D37C31" w:rsidP="00D37C31">
      <w:pPr>
        <w:pStyle w:val="Odstavecseseznamem"/>
        <w:spacing w:before="120" w:after="120" w:line="271" w:lineRule="auto"/>
        <w:rPr>
          <w:rFonts w:ascii="Arial" w:hAnsi="Arial" w:cs="Arial"/>
          <w:snapToGrid w:val="0"/>
          <w:sz w:val="22"/>
          <w:szCs w:val="22"/>
        </w:rPr>
      </w:pPr>
      <w:r w:rsidRPr="00123D4A">
        <w:rPr>
          <w:rFonts w:ascii="Arial" w:hAnsi="Arial" w:cs="Arial"/>
          <w:snapToGrid w:val="0"/>
          <w:sz w:val="22"/>
          <w:szCs w:val="22"/>
        </w:rPr>
        <w:t xml:space="preserve">– v době udržitelnosti stanovené v čl. 65 Obecného nařízení bude postupováno v souladu s částí III. bod </w:t>
      </w:r>
      <w:r>
        <w:rPr>
          <w:rFonts w:ascii="Arial" w:hAnsi="Arial" w:cs="Arial"/>
          <w:snapToGrid w:val="0"/>
          <w:sz w:val="22"/>
          <w:szCs w:val="22"/>
        </w:rPr>
        <w:t>7</w:t>
      </w:r>
      <w:r w:rsidRPr="00123D4A">
        <w:rPr>
          <w:rFonts w:ascii="Arial" w:hAnsi="Arial" w:cs="Arial"/>
          <w:snapToGrid w:val="0"/>
          <w:sz w:val="22"/>
          <w:szCs w:val="22"/>
        </w:rPr>
        <w:t xml:space="preserve"> těchto Podmínek;</w:t>
      </w:r>
    </w:p>
    <w:p w14:paraId="1E2602EC" w14:textId="77777777" w:rsidR="00D37C31" w:rsidRPr="00123D4A" w:rsidRDefault="00D37C31" w:rsidP="00D37C31">
      <w:pPr>
        <w:pStyle w:val="Odstavecseseznamem"/>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 xml:space="preserve">– v době výkonu služby obecného hospodářského zájmu sociálního bydlení v souladu s podmínkami výzvy, po ukončení doby udržitelnosti, bude vrácena poměrná částka dotace připadající rozdílu mezi dobou výkonu služby obecného hospodářského zájmu sociálního bydlení a celkovou dobou výkonu služby obecného hospodářského zájmu sociálního bydlení </w:t>
      </w:r>
      <w:proofErr w:type="gramStart"/>
      <w:r w:rsidRPr="00123D4A">
        <w:rPr>
          <w:rFonts w:ascii="Arial" w:hAnsi="Arial" w:cs="Arial"/>
          <w:snapToGrid w:val="0"/>
          <w:sz w:val="22"/>
          <w:szCs w:val="22"/>
        </w:rPr>
        <w:t>ku</w:t>
      </w:r>
      <w:proofErr w:type="gramEnd"/>
      <w:r w:rsidRPr="00123D4A">
        <w:rPr>
          <w:rFonts w:ascii="Arial" w:hAnsi="Arial" w:cs="Arial"/>
          <w:snapToGrid w:val="0"/>
          <w:sz w:val="22"/>
          <w:szCs w:val="22"/>
        </w:rPr>
        <w:t xml:space="preserve"> celkové době výkonu služby obecného hospodářského zájmu sociálního bydlení.  </w:t>
      </w:r>
    </w:p>
    <w:p w14:paraId="334AD52D" w14:textId="77777777" w:rsidR="00D37C31" w:rsidRPr="00123D4A"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4999B7AF" w14:textId="751A93CD" w:rsidR="009132E6" w:rsidRPr="00CA5784"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4773B275" w14:textId="77777777" w:rsidR="006E5A91" w:rsidRPr="009132E6" w:rsidRDefault="006E5A91"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5EF6ABF"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6E5A91">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6E5A91">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 xml:space="preserve">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AE97F" w14:textId="77777777" w:rsidR="003D4926" w:rsidRDefault="003D4926">
      <w:r>
        <w:separator/>
      </w:r>
    </w:p>
  </w:endnote>
  <w:endnote w:type="continuationSeparator" w:id="0">
    <w:p w14:paraId="3B05960C" w14:textId="77777777" w:rsidR="003D4926" w:rsidRDefault="003D4926">
      <w:r>
        <w:continuationSeparator/>
      </w:r>
    </w:p>
  </w:endnote>
  <w:endnote w:type="continuationNotice" w:id="1">
    <w:p w14:paraId="7E50BD01" w14:textId="77777777" w:rsidR="003D4926" w:rsidRDefault="003D4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0E8632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A82506">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A82506">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699E3" w14:textId="77777777" w:rsidR="003D4926" w:rsidRDefault="003D4926">
      <w:r>
        <w:separator/>
      </w:r>
    </w:p>
  </w:footnote>
  <w:footnote w:type="continuationSeparator" w:id="0">
    <w:p w14:paraId="2AB44B31" w14:textId="77777777" w:rsidR="003D4926" w:rsidRDefault="003D4926">
      <w:r>
        <w:continuationSeparator/>
      </w:r>
    </w:p>
  </w:footnote>
  <w:footnote w:type="continuationNotice" w:id="1">
    <w:p w14:paraId="069E2D0D" w14:textId="77777777" w:rsidR="003D4926" w:rsidRDefault="003D49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FC722E3"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4973FBBB" w14:textId="77777777" w:rsidR="00D37C31" w:rsidRDefault="00D37C31" w:rsidP="00D37C31">
      <w:pPr>
        <w:pStyle w:val="Textpoznpodarou"/>
      </w:pPr>
      <w:r>
        <w:rPr>
          <w:rStyle w:val="Znakapoznpodarou"/>
        </w:rPr>
        <w:footnoteRef/>
      </w:r>
      <w:r>
        <w:t xml:space="preserve"> </w:t>
      </w:r>
      <w:proofErr w:type="spellStart"/>
      <w:r w:rsidRPr="00C306A3">
        <w:rPr>
          <w:rFonts w:asciiTheme="minorHAnsi" w:hAnsiTheme="minorHAnsi"/>
          <w:sz w:val="16"/>
          <w:szCs w:val="16"/>
        </w:rPr>
        <w:t>Uř</w:t>
      </w:r>
      <w:proofErr w:type="spellEnd"/>
      <w:r w:rsidRPr="00C306A3">
        <w:rPr>
          <w:rFonts w:asciiTheme="minorHAnsi" w:hAnsiTheme="minorHAnsi"/>
          <w:sz w:val="16"/>
          <w:szCs w:val="16"/>
        </w:rPr>
        <w:t>.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11E4D1FE"/>
    <w:lvl w:ilvl="0" w:tplc="88A0D76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9FF041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9"/>
  </w:num>
  <w:num w:numId="3">
    <w:abstractNumId w:val="2"/>
  </w:num>
  <w:num w:numId="4">
    <w:abstractNumId w:val="7"/>
  </w:num>
  <w:num w:numId="5">
    <w:abstractNumId w:val="12"/>
  </w:num>
  <w:num w:numId="6">
    <w:abstractNumId w:val="18"/>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6"/>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35"/>
  </w:num>
  <w:num w:numId="36">
    <w:abstractNumId w:val="20"/>
  </w:num>
  <w:num w:numId="37">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6C1"/>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6969"/>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1A1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4D1B"/>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3"/>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4C39"/>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35"/>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AE5"/>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2F84"/>
    <w:rsid w:val="00653761"/>
    <w:rsid w:val="00653910"/>
    <w:rsid w:val="00654548"/>
    <w:rsid w:val="00654D8F"/>
    <w:rsid w:val="00655631"/>
    <w:rsid w:val="00655659"/>
    <w:rsid w:val="006559E2"/>
    <w:rsid w:val="0065671A"/>
    <w:rsid w:val="00656915"/>
    <w:rsid w:val="0065691C"/>
    <w:rsid w:val="0065791E"/>
    <w:rsid w:val="00660189"/>
    <w:rsid w:val="00660284"/>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89A"/>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A91"/>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22A"/>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867"/>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07E0"/>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506"/>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3DDE"/>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4D79"/>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784"/>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5D1"/>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F67"/>
    <w:rsid w:val="00E9405E"/>
    <w:rsid w:val="00E944C7"/>
    <w:rsid w:val="00E94AA6"/>
    <w:rsid w:val="00E9532E"/>
    <w:rsid w:val="00E9574A"/>
    <w:rsid w:val="00E957D8"/>
    <w:rsid w:val="00E96824"/>
    <w:rsid w:val="00E96EC4"/>
    <w:rsid w:val="00E970C1"/>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5450"/>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Mention">
    <w:name w:val="Mention"/>
    <w:basedOn w:val="Standardnpsmoodstavce"/>
    <w:uiPriority w:val="99"/>
    <w:unhideWhenUsed/>
    <w:rsid w:val="00B91A6F"/>
    <w:rPr>
      <w:color w:val="2B579A"/>
      <w:shd w:val="clear" w:color="auto" w:fill="E6E6E6"/>
    </w:rPr>
  </w:style>
  <w:style w:type="character" w:customStyle="1" w:styleId="UnresolvedMention">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8.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0.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1.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5.xml><?xml version="1.0" encoding="utf-8"?>
<ds:datastoreItem xmlns:ds="http://schemas.openxmlformats.org/officeDocument/2006/customXml" ds:itemID="{3AFC6B2F-DDC9-42B0-A3D6-7690D0EE1BEB}">
  <ds:schemaRefs>
    <ds:schemaRef ds:uri="http://schemas.openxmlformats.org/officeDocument/2006/bibliography"/>
  </ds:schemaRefs>
</ds:datastoreItem>
</file>

<file path=customXml/itemProps26.xml><?xml version="1.0" encoding="utf-8"?>
<ds:datastoreItem xmlns:ds="http://schemas.openxmlformats.org/officeDocument/2006/customXml" ds:itemID="{637AAC04-2E96-4411-A93A-EB06F148D8A9}">
  <ds:schemaRefs>
    <ds:schemaRef ds:uri="http://schemas.openxmlformats.org/officeDocument/2006/bibliography"/>
  </ds:schemaRefs>
</ds:datastoreItem>
</file>

<file path=customXml/itemProps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6.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18</Pages>
  <Words>4282</Words>
  <Characters>24819</Characters>
  <Application>Microsoft Office Word</Application>
  <DocSecurity>0</DocSecurity>
  <Lines>206</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Ivana Projsová</cp:lastModifiedBy>
  <cp:revision>21</cp:revision>
  <cp:lastPrinted>2022-07-27T10:25:00Z</cp:lastPrinted>
  <dcterms:created xsi:type="dcterms:W3CDTF">2022-08-23T11:25:00Z</dcterms:created>
  <dcterms:modified xsi:type="dcterms:W3CDTF">2022-10-12T07:11:00Z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